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AB7" w:rsidRDefault="00E67E1F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7D2AB7" w:rsidRDefault="00E67E1F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Toksykologia Środowiskowa</w:t>
      </w:r>
    </w:p>
    <w:p w:rsidR="007D2AB7" w:rsidRDefault="00E67E1F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701"/>
        <w:gridCol w:w="1220"/>
      </w:tblGrid>
      <w:tr w:rsidR="007D2AB7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7D2AB7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 </w:t>
            </w:r>
            <w:r>
              <w:rPr>
                <w:b/>
                <w:color w:val="000000"/>
              </w:rPr>
              <w:t>studia drugiego stopnia</w:t>
            </w:r>
          </w:p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stacjonarne w trybie piątkowo-sobotnim</w:t>
            </w:r>
          </w:p>
        </w:tc>
      </w:tr>
      <w:tr w:rsidR="007D2AB7">
        <w:tc>
          <w:tcPr>
            <w:tcW w:w="4192" w:type="dxa"/>
            <w:gridSpan w:val="2"/>
          </w:tcPr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I</w:t>
            </w:r>
          </w:p>
        </w:tc>
        <w:tc>
          <w:tcPr>
            <w:tcW w:w="5500" w:type="dxa"/>
            <w:gridSpan w:val="3"/>
          </w:tcPr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II</w:t>
            </w:r>
          </w:p>
        </w:tc>
      </w:tr>
      <w:tr w:rsidR="007D2AB7">
        <w:tc>
          <w:tcPr>
            <w:tcW w:w="9692" w:type="dxa"/>
            <w:gridSpan w:val="5"/>
          </w:tcPr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Toksykologia środowiskowa</w:t>
            </w:r>
          </w:p>
        </w:tc>
      </w:tr>
      <w:tr w:rsidR="007D2AB7">
        <w:tc>
          <w:tcPr>
            <w:tcW w:w="9692" w:type="dxa"/>
            <w:gridSpan w:val="5"/>
          </w:tcPr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 obowiązkowy</w:t>
            </w:r>
          </w:p>
        </w:tc>
      </w:tr>
      <w:tr w:rsidR="007D2AB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7D2AB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7D2AB7" w:rsidRDefault="007D2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Celem przedmiotu jest zdobycie wiedzy w zakresie toksykologii związków chemicznych występujących w środowisku; toksykologia metali ciężkich. Metody identyfikacji substancji toksycznych w środowisku, i metody oceny narażenia organizmów; pojęcie dawki bezpie</w:t>
            </w:r>
            <w:r>
              <w:rPr>
                <w:color w:val="000000"/>
              </w:rPr>
              <w:t>cznej i maksymalnej dopuszczalnej dawki.</w:t>
            </w:r>
          </w:p>
          <w:p w:rsidR="007D2AB7" w:rsidRDefault="007D2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  <w:p w:rsidR="007D2AB7" w:rsidRDefault="007D2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FF0000"/>
              </w:rPr>
            </w:pPr>
            <w:r>
              <w:rPr>
                <w:i/>
                <w:color w:val="000000"/>
              </w:rPr>
              <w:t xml:space="preserve">w zakresie wiedzy student zna i rozumie:  </w:t>
            </w:r>
            <w:r>
              <w:rPr>
                <w:color w:val="000000"/>
              </w:rPr>
              <w:t>K_W01</w:t>
            </w:r>
            <w:r>
              <w:rPr>
                <w:i/>
                <w:color w:val="000000"/>
              </w:rPr>
              <w:t xml:space="preserve">, </w:t>
            </w:r>
            <w:r>
              <w:rPr>
                <w:color w:val="000000"/>
              </w:rPr>
              <w:t>K_W02, K_W21</w:t>
            </w:r>
          </w:p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w zakresie umiejętności student potrafi: </w:t>
            </w:r>
            <w:r>
              <w:rPr>
                <w:color w:val="000000"/>
              </w:rPr>
              <w:t xml:space="preserve">K_U02, K_U16, K_U17, </w:t>
            </w:r>
          </w:p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w zakresie kompetencji społecznych student jest gotów do: </w:t>
            </w:r>
            <w:r>
              <w:rPr>
                <w:b/>
                <w:i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K_K06, K_K07, </w:t>
            </w:r>
          </w:p>
          <w:p w:rsidR="007D2AB7" w:rsidRDefault="007D2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  <w:p w:rsidR="007D2AB7" w:rsidRDefault="007D2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  <w:tr w:rsidR="007D2AB7">
        <w:tc>
          <w:tcPr>
            <w:tcW w:w="8472" w:type="dxa"/>
            <w:gridSpan w:val="4"/>
            <w:vAlign w:val="center"/>
          </w:tcPr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 (w tym kontaktowe)</w:t>
            </w:r>
          </w:p>
        </w:tc>
        <w:tc>
          <w:tcPr>
            <w:tcW w:w="1220" w:type="dxa"/>
            <w:vAlign w:val="center"/>
          </w:tcPr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56h/28</w:t>
            </w:r>
            <w:r>
              <w:rPr>
                <w:b/>
                <w:color w:val="000000"/>
              </w:rPr>
              <w:t>h</w:t>
            </w:r>
          </w:p>
        </w:tc>
      </w:tr>
      <w:tr w:rsidR="007D2AB7">
        <w:tc>
          <w:tcPr>
            <w:tcW w:w="8472" w:type="dxa"/>
            <w:gridSpan w:val="4"/>
            <w:vAlign w:val="center"/>
          </w:tcPr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10. liczba punktów ECTS dla przedmiotu </w:t>
            </w:r>
          </w:p>
        </w:tc>
        <w:tc>
          <w:tcPr>
            <w:tcW w:w="1220" w:type="dxa"/>
            <w:vAlign w:val="center"/>
          </w:tcPr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  <w:bookmarkStart w:id="0" w:name="_GoBack"/>
            <w:bookmarkEnd w:id="0"/>
          </w:p>
        </w:tc>
      </w:tr>
      <w:tr w:rsidR="007D2AB7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7D2AB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7D2AB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Test wiedzy: pytania testowe, pytania otwarte lub pytania półotwarte, raporty, prezentacje multimedialne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000000"/>
            </w:tcBorders>
            <w:vAlign w:val="center"/>
          </w:tcPr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  <w:r>
              <w:rPr>
                <w:color w:val="000000"/>
              </w:rPr>
              <w:t xml:space="preserve"> Oceny w ramach każdej formy weryfikacji dokonuje się zgodnie z poniższą skalą*: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ndst</w:t>
            </w:r>
            <w:proofErr w:type="spellEnd"/>
            <w:r>
              <w:rPr>
                <w:color w:val="000000"/>
              </w:rPr>
              <w:t xml:space="preserve"> (2,0)  poniżej 60%;</w:t>
            </w:r>
          </w:p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</w:rPr>
              <w:t>dst</w:t>
            </w:r>
            <w:proofErr w:type="spellEnd"/>
            <w:r>
              <w:rPr>
                <w:color w:val="000000"/>
              </w:rPr>
              <w:t xml:space="preserve"> (3,0) 60-67%; 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ddb</w:t>
            </w:r>
            <w:proofErr w:type="spellEnd"/>
            <w:r>
              <w:rPr>
                <w:color w:val="000000"/>
              </w:rPr>
              <w:t xml:space="preserve"> (3,5) 68-75%, 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db</w:t>
            </w:r>
            <w:proofErr w:type="spellEnd"/>
            <w:r>
              <w:rPr>
                <w:color w:val="000000"/>
              </w:rPr>
              <w:t xml:space="preserve"> (4,0) 76-83%;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pdb</w:t>
            </w:r>
            <w:proofErr w:type="spellEnd"/>
            <w:r>
              <w:rPr>
                <w:color w:val="000000"/>
              </w:rPr>
              <w:t xml:space="preserve"> (4,5) 84-91%; 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bdb</w:t>
            </w:r>
            <w:proofErr w:type="spellEnd"/>
            <w:r>
              <w:rPr>
                <w:color w:val="000000"/>
              </w:rPr>
              <w:t xml:space="preserve"> (5,0) 92-100%.</w:t>
            </w:r>
          </w:p>
        </w:tc>
      </w:tr>
      <w:tr w:rsidR="007D2AB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Prezentacje multimedialne, raporty, sprawozdania  z eksperymentów laboratoryjnych </w:t>
            </w:r>
          </w:p>
        </w:tc>
        <w:tc>
          <w:tcPr>
            <w:tcW w:w="2921" w:type="dxa"/>
            <w:gridSpan w:val="2"/>
            <w:vMerge/>
            <w:tcBorders>
              <w:top w:val="single" w:sz="4" w:space="0" w:color="000000"/>
            </w:tcBorders>
            <w:vAlign w:val="center"/>
          </w:tcPr>
          <w:p w:rsidR="007D2AB7" w:rsidRDefault="007D2A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</w:tr>
      <w:tr w:rsidR="007D2AB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Prezentacje multimedialne,  wypowiedzi ustne </w:t>
            </w:r>
          </w:p>
        </w:tc>
        <w:tc>
          <w:tcPr>
            <w:tcW w:w="2921" w:type="dxa"/>
            <w:gridSpan w:val="2"/>
            <w:vMerge/>
            <w:tcBorders>
              <w:top w:val="single" w:sz="4" w:space="0" w:color="000000"/>
            </w:tcBorders>
            <w:vAlign w:val="center"/>
          </w:tcPr>
          <w:p w:rsidR="007D2AB7" w:rsidRDefault="007D2A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</w:tr>
      <w:tr w:rsidR="007D2AB7">
        <w:trPr>
          <w:trHeight w:val="731"/>
        </w:trPr>
        <w:tc>
          <w:tcPr>
            <w:tcW w:w="9692" w:type="dxa"/>
            <w:gridSpan w:val="5"/>
            <w:tcBorders>
              <w:top w:val="single" w:sz="4" w:space="0" w:color="000000"/>
            </w:tcBorders>
            <w:vAlign w:val="center"/>
          </w:tcPr>
          <w:p w:rsidR="007D2AB7" w:rsidRDefault="00E67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Student po zakończeniu kursu otrzymuje ocenę ostateczną, która jest zależna od wszystkich uzyskanych ocen w trakcie realizacji treści kształcenia z danego przedmiotu, stanowiących weryfikację każdego założone</w:t>
            </w:r>
            <w:r>
              <w:rPr>
                <w:color w:val="000000"/>
              </w:rPr>
              <w:t xml:space="preserve">go efektu uczenia się. </w:t>
            </w:r>
          </w:p>
          <w:p w:rsidR="007D2AB7" w:rsidRDefault="007D2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</w:tbl>
    <w:p w:rsidR="007D2AB7" w:rsidRDefault="007D2AB7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7D2AB7" w:rsidRDefault="00E67E1F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7D2AB7" w:rsidRDefault="00E67E1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lastRenderedPageBreak/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7D2AB7" w:rsidRDefault="00E67E1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7D2AB7" w:rsidRDefault="00E67E1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7D2AB7" w:rsidRDefault="00E67E1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</w:t>
      </w:r>
      <w:r>
        <w:rPr>
          <w:color w:val="000000"/>
        </w:rPr>
        <w:t xml:space="preserve"> średnim wymaganym poziomie</w:t>
      </w:r>
    </w:p>
    <w:p w:rsidR="007D2AB7" w:rsidRDefault="00E67E1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7D2AB7" w:rsidRDefault="00E67E1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p w:rsidR="007D2AB7" w:rsidRDefault="007D2AB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7D2AB7" w:rsidRDefault="007D2AB7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sectPr w:rsidR="007D2AB7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B7"/>
    <w:rsid w:val="007D2AB7"/>
    <w:rsid w:val="00E6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720FB0-8883-40C7-824B-6039B4F9D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ZK+bFnBuEmhdGR0jIFN/H79BPQ==">AMUW2mW973TJATaxfIDJ3W+RXqHFIMWTfYA9mlDgzcCMjwZCHgu9wsRC9O6eUZ0YcGMccg7uJJkdcBANbzWeDxgonVA21Y688EtmFuzu1UvZq6Og82Va/Wc=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D5421305-F592-4801-8485-2F45EF139F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209151-C0B6-4AB5-A481-0DF14B62F2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64CC5C-C296-4A7A-BF3A-67E9419AD7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2021-03-31T23:30:00Z</dcterms:created>
  <dcterms:modified xsi:type="dcterms:W3CDTF">2022-03-31T15:42:00Z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